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4ADB" w:rsidRPr="00624ADB" w:rsidRDefault="00624ADB" w:rsidP="00624ADB">
      <w:pPr>
        <w:widowControl/>
        <w:shd w:val="clear" w:color="auto" w:fill="FFFFFF"/>
        <w:spacing w:after="210"/>
        <w:jc w:val="left"/>
        <w:outlineLvl w:val="1"/>
        <w:rPr>
          <w:rFonts w:ascii="Microsoft YaHei UI" w:eastAsia="Microsoft YaHei UI" w:hAnsi="Microsoft YaHei UI" w:cs="宋体"/>
          <w:color w:val="333333"/>
          <w:spacing w:val="8"/>
          <w:kern w:val="0"/>
          <w:sz w:val="33"/>
          <w:szCs w:val="33"/>
        </w:rPr>
      </w:pPr>
      <w:bookmarkStart w:id="0" w:name="_GoBack"/>
      <w:r w:rsidRPr="00624ADB">
        <w:rPr>
          <w:rFonts w:ascii="Microsoft YaHei UI" w:eastAsia="Microsoft YaHei UI" w:hAnsi="Microsoft YaHei UI" w:cs="宋体" w:hint="eastAsia"/>
          <w:color w:val="333333"/>
          <w:spacing w:val="8"/>
          <w:kern w:val="0"/>
          <w:sz w:val="33"/>
          <w:szCs w:val="33"/>
        </w:rPr>
        <w:t>西部地区学前教育发展的成效、瓶颈及对策</w:t>
      </w:r>
    </w:p>
    <w:p w:rsidR="00624ADB" w:rsidRPr="00624ADB" w:rsidRDefault="00624ADB" w:rsidP="00624ADB">
      <w:pPr>
        <w:widowControl/>
        <w:shd w:val="clear" w:color="auto" w:fill="FFFFFF"/>
        <w:wordWrap w:val="0"/>
        <w:spacing w:line="300" w:lineRule="atLeast"/>
        <w:jc w:val="left"/>
        <w:rPr>
          <w:rFonts w:ascii="Microsoft YaHei UI" w:eastAsia="Microsoft YaHei UI" w:hAnsi="Microsoft YaHei UI" w:cs="宋体"/>
          <w:color w:val="333333"/>
          <w:spacing w:val="8"/>
          <w:kern w:val="0"/>
          <w:sz w:val="2"/>
          <w:szCs w:val="2"/>
        </w:rPr>
      </w:pPr>
      <w:r w:rsidRPr="00624ADB">
        <w:rPr>
          <w:rFonts w:ascii="Microsoft YaHei UI" w:eastAsia="Microsoft YaHei UI" w:hAnsi="Microsoft YaHei UI" w:cs="宋体" w:hint="eastAsia"/>
          <w:color w:val="333333"/>
          <w:spacing w:val="8"/>
          <w:kern w:val="0"/>
          <w:sz w:val="23"/>
          <w:szCs w:val="23"/>
        </w:rPr>
        <w:t>洪秀敏，赵尚艺</w:t>
      </w:r>
    </w:p>
    <w:bookmarkEnd w:id="0"/>
    <w:p w:rsidR="00624ADB" w:rsidRPr="00624ADB" w:rsidRDefault="00624ADB" w:rsidP="00624ADB">
      <w:pPr>
        <w:widowControl/>
        <w:shd w:val="clear" w:color="auto" w:fill="FFFFFF"/>
        <w:rPr>
          <w:rFonts w:ascii="Microsoft YaHei UI" w:eastAsia="Microsoft YaHei UI" w:hAnsi="Microsoft YaHei UI" w:cs="宋体"/>
          <w:color w:val="333333"/>
          <w:spacing w:val="30"/>
          <w:kern w:val="0"/>
          <w:sz w:val="26"/>
          <w:szCs w:val="26"/>
        </w:rPr>
      </w:pPr>
      <w:r w:rsidRPr="00624ADB">
        <w:rPr>
          <w:rFonts w:ascii="Microsoft YaHei UI" w:eastAsia="Microsoft YaHei UI" w:hAnsi="Microsoft YaHei UI" w:cs="宋体" w:hint="eastAsia"/>
          <w:color w:val="333333"/>
          <w:spacing w:val="30"/>
          <w:kern w:val="0"/>
          <w:sz w:val="24"/>
          <w:szCs w:val="24"/>
        </w:rPr>
        <w:t>作者简介</w:t>
      </w:r>
    </w:p>
    <w:p w:rsidR="00624ADB" w:rsidRPr="00624ADB" w:rsidRDefault="00624ADB" w:rsidP="00624ADB">
      <w:pPr>
        <w:widowControl/>
        <w:shd w:val="clear" w:color="auto" w:fill="FFFFFF"/>
        <w:ind w:firstLine="480"/>
        <w:rPr>
          <w:rFonts w:ascii="Microsoft YaHei UI" w:eastAsia="Microsoft YaHei UI" w:hAnsi="Microsoft YaHei UI" w:cs="宋体"/>
          <w:color w:val="333333"/>
          <w:spacing w:val="30"/>
          <w:kern w:val="0"/>
          <w:sz w:val="26"/>
          <w:szCs w:val="26"/>
        </w:rPr>
      </w:pPr>
      <w:r w:rsidRPr="00624ADB">
        <w:rPr>
          <w:rFonts w:ascii="宋体" w:eastAsia="宋体" w:hAnsi="宋体" w:cs="宋体" w:hint="eastAsia"/>
          <w:color w:val="333333"/>
          <w:spacing w:val="30"/>
          <w:kern w:val="0"/>
          <w:szCs w:val="21"/>
        </w:rPr>
        <w:t>洪秀敏，北京师范大学教授，博士生导师，博士；赵尚艺，北京师范大学硕士生。</w:t>
      </w:r>
    </w:p>
    <w:p w:rsidR="00624ADB" w:rsidRPr="00624ADB" w:rsidRDefault="00624ADB" w:rsidP="00624ADB">
      <w:pPr>
        <w:widowControl/>
        <w:shd w:val="clear" w:color="auto" w:fill="FFFFFF"/>
        <w:rPr>
          <w:rFonts w:ascii="Microsoft YaHei UI" w:eastAsia="Microsoft YaHei UI" w:hAnsi="Microsoft YaHei UI" w:cs="宋体"/>
          <w:color w:val="333333"/>
          <w:spacing w:val="30"/>
          <w:kern w:val="0"/>
          <w:sz w:val="26"/>
          <w:szCs w:val="26"/>
        </w:rPr>
      </w:pPr>
      <w:r w:rsidRPr="00624ADB">
        <w:rPr>
          <w:rFonts w:ascii="Microsoft YaHei UI" w:eastAsia="Microsoft YaHei UI" w:hAnsi="Microsoft YaHei UI" w:cs="宋体" w:hint="eastAsia"/>
          <w:color w:val="333333"/>
          <w:spacing w:val="30"/>
          <w:kern w:val="0"/>
          <w:sz w:val="24"/>
          <w:szCs w:val="24"/>
        </w:rPr>
        <w:t>摘要</w:t>
      </w:r>
    </w:p>
    <w:p w:rsidR="00624ADB" w:rsidRPr="00624ADB" w:rsidRDefault="00624ADB" w:rsidP="00624ADB">
      <w:pPr>
        <w:widowControl/>
        <w:shd w:val="clear" w:color="auto" w:fill="FFFFFF"/>
        <w:ind w:firstLine="480"/>
        <w:rPr>
          <w:rFonts w:ascii="Microsoft YaHei UI" w:eastAsia="Microsoft YaHei UI" w:hAnsi="Microsoft YaHei UI" w:cs="宋体"/>
          <w:color w:val="333333"/>
          <w:spacing w:val="30"/>
          <w:kern w:val="0"/>
          <w:sz w:val="26"/>
          <w:szCs w:val="26"/>
        </w:rPr>
      </w:pPr>
      <w:r w:rsidRPr="00624ADB">
        <w:rPr>
          <w:rFonts w:ascii="宋体" w:eastAsia="宋体" w:hAnsi="宋体" w:cs="宋体" w:hint="eastAsia"/>
          <w:color w:val="333333"/>
          <w:spacing w:val="30"/>
          <w:kern w:val="0"/>
          <w:szCs w:val="21"/>
        </w:rPr>
        <w:t>对成都市园长和教师展开的第二期学前教育三年行动计划实施效果问卷调查显示：成都市学前教育资源总量明显扩大、“小学化”得到明显纠正、财政投入明显增加、教师队伍规模扩大且培训增多、弱势群体得到了有力支持；存在着结构调整不到位、“大班额”普遍、财政投入不均、教师队伍不稳定且民办和非在编教师福利待遇低、弱势群体扶助不足等问题，教师对于提高地位和待遇的需求度最高。今后应从注重结构调整，严控班额和师幼比，保持财政投入均衡性，注重教师福利待遇及评优评先机会，资源向弱势群体倾斜等方面入手，促进学前教育大发展。</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国民教育体系的重要组成部分。为进一步推进学前教育改革发展，国家制定了《关于实施第三期学前教育行动计划的意见》指出，目前我国学前教育财政投入持续增加，“入园难”进一步缓解，学前教育发展迈上新的台阶。但仍普遍存在普惠性资源供给不足，教师数量短缺、工资待遇偏低，幼儿园运转困难，保教质量参差不齐等问题。［1］学前教育发展仍处于爬坡过坎的关键期。</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基本普及学前教育是新世纪新阶段党和国家提出的教育发展重要任务之一，［2］了解西部地区学前教育发展现状对实现公平而有质量的教育至关重要，也是促进我国学前教育事业进一步良好发展的关键。探讨与分析近年来成都市幼儿园园长和教师对于学前教育三年行动计划的看法，对于我国其他地区尤其是西部地区学前教育发展具有重要的借鉴价值。</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本研究以成都市第二期学前教育三年行动计划（以下简称“二期行动计划”）实施效果调查为依据，揭示成都市学前教育发展在扩大总量、调整结构、质量监管、投入机制、教师队伍建设等方面取得的成效和存在的瓶颈，为推动《成都市第三期学前教育行动计划（2017—2020年）》（以下简称“三期行动计划”）中提出的“增加普惠性资源供给；提升保育教育质量；建立健全保障机制”等重点任务和“形成以公办和公益性幼儿园为主体的学前教育发展格局，进一步完善布局合理、公益普惠、公平均衡的学前教育公共服务体系”［3］等政策目标的落地提出相应的政策建议。</w:t>
      </w:r>
    </w:p>
    <w:p w:rsidR="00624ADB" w:rsidRPr="00624ADB" w:rsidRDefault="00624ADB" w:rsidP="00624ADB">
      <w:pPr>
        <w:widowControl/>
        <w:shd w:val="clear" w:color="auto" w:fill="FFFFFF"/>
        <w:rPr>
          <w:rFonts w:ascii="Microsoft YaHei UI" w:eastAsia="Microsoft YaHei UI" w:hAnsi="Microsoft YaHei UI" w:cs="宋体"/>
          <w:color w:val="333333"/>
          <w:spacing w:val="30"/>
          <w:kern w:val="0"/>
          <w:sz w:val="26"/>
          <w:szCs w:val="26"/>
        </w:rPr>
      </w:pPr>
      <w:r w:rsidRPr="00624ADB">
        <w:rPr>
          <w:rFonts w:ascii="Microsoft YaHei UI" w:eastAsia="Microsoft YaHei UI" w:hAnsi="Microsoft YaHei UI" w:cs="宋体" w:hint="eastAsia"/>
          <w:color w:val="333333"/>
          <w:spacing w:val="30"/>
          <w:kern w:val="0"/>
          <w:sz w:val="26"/>
          <w:szCs w:val="26"/>
        </w:rPr>
        <w:t>一</w:t>
      </w:r>
    </w:p>
    <w:p w:rsidR="00624ADB" w:rsidRPr="00624ADB" w:rsidRDefault="00624ADB" w:rsidP="00624ADB">
      <w:pPr>
        <w:widowControl/>
        <w:shd w:val="clear" w:color="auto" w:fill="FFFFFF"/>
        <w:rPr>
          <w:rFonts w:ascii="Microsoft YaHei UI" w:eastAsia="Microsoft YaHei UI" w:hAnsi="Microsoft YaHei UI" w:cs="宋体"/>
          <w:color w:val="333333"/>
          <w:spacing w:val="8"/>
          <w:kern w:val="0"/>
          <w:sz w:val="26"/>
          <w:szCs w:val="26"/>
        </w:rPr>
      </w:pPr>
      <w:r w:rsidRPr="00624ADB">
        <w:rPr>
          <w:rFonts w:ascii="Microsoft YaHei UI" w:eastAsia="Microsoft YaHei UI" w:hAnsi="Microsoft YaHei UI" w:cs="宋体" w:hint="eastAsia"/>
          <w:color w:val="333333"/>
          <w:spacing w:val="8"/>
          <w:kern w:val="0"/>
          <w:sz w:val="26"/>
          <w:szCs w:val="26"/>
        </w:rPr>
        <w:lastRenderedPageBreak/>
        <w:br/>
      </w:r>
    </w:p>
    <w:p w:rsidR="00624ADB" w:rsidRPr="00624ADB" w:rsidRDefault="00624ADB" w:rsidP="00624ADB">
      <w:pPr>
        <w:widowControl/>
        <w:shd w:val="clear" w:color="auto" w:fill="FFFFFF"/>
        <w:jc w:val="right"/>
        <w:rPr>
          <w:rFonts w:ascii="Microsoft YaHei UI" w:eastAsia="Microsoft YaHei UI" w:hAnsi="Microsoft YaHei UI" w:cs="宋体"/>
          <w:color w:val="333333"/>
          <w:spacing w:val="30"/>
          <w:kern w:val="0"/>
          <w:sz w:val="26"/>
          <w:szCs w:val="26"/>
        </w:rPr>
      </w:pPr>
      <w:r w:rsidRPr="00624ADB">
        <w:rPr>
          <w:rFonts w:ascii="Microsoft YaHei UI" w:eastAsia="Microsoft YaHei UI" w:hAnsi="Microsoft YaHei UI" w:cs="宋体" w:hint="eastAsia"/>
          <w:color w:val="333333"/>
          <w:spacing w:val="30"/>
          <w:kern w:val="0"/>
          <w:sz w:val="26"/>
          <w:szCs w:val="26"/>
        </w:rPr>
        <w:t>研究方法</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shd w:val="clear" w:color="auto" w:fill="FFACD5"/>
        </w:rPr>
        <w:t>（一）研究对象</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采用目的性抽样法，选取四川省成都市园长和教师作为研究对象。共发放1325份问卷,问卷兼顾城市与乡村地区、公办园与民办园，其中城市地区345人（26.04%），城镇地区473人（35.70%），农村地区507人（38.26%）；公办园678人（51.17%），公办性质园124人（9.36%），民办园523人（39.47%）；园长414人（31.24%），教师911人（68.76%）。</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shd w:val="clear" w:color="auto" w:fill="FFACD5"/>
        </w:rPr>
        <w:t>（二）研究方法与工具</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研究工具为自编“国家‘学前教育二期三年行动计划’（2014-2016年）实施效果调查问卷”，问卷包括基本信息和调查题项两部分，调查题项采用李克特五点量表，对当地二期行动计划包括学前教育资源、质量监管、投入机制、教师队伍建设和弱势群体扶助等五个方面的实施落实情况评价和对今后政策需要改进的迫切程度，分别为50道封闭性单选题，最后设2道开放性题目，以期更加深入了解二期行动计划中最令人满意的方面和对于学前教育发展现状的建议和期待。</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信度分析显示，问卷信度0.968，各维度信度分别为0.756，0.880，0.896，0.929，0.867。问卷回收后采用SPSS20.0对回收数据进行描述性统计和方差分析。</w:t>
      </w:r>
    </w:p>
    <w:p w:rsidR="00624ADB" w:rsidRPr="00624ADB" w:rsidRDefault="00624ADB" w:rsidP="00624ADB">
      <w:pPr>
        <w:widowControl/>
        <w:shd w:val="clear" w:color="auto" w:fill="FFFFFF"/>
        <w:rPr>
          <w:rFonts w:ascii="Microsoft YaHei UI" w:eastAsia="Microsoft YaHei UI" w:hAnsi="Microsoft YaHei UI" w:cs="宋体"/>
          <w:color w:val="333333"/>
          <w:spacing w:val="30"/>
          <w:kern w:val="0"/>
          <w:sz w:val="26"/>
          <w:szCs w:val="26"/>
        </w:rPr>
      </w:pPr>
      <w:r w:rsidRPr="00624ADB">
        <w:rPr>
          <w:rFonts w:ascii="Microsoft YaHei UI" w:eastAsia="Microsoft YaHei UI" w:hAnsi="Microsoft YaHei UI" w:cs="宋体" w:hint="eastAsia"/>
          <w:color w:val="333333"/>
          <w:spacing w:val="30"/>
          <w:kern w:val="0"/>
          <w:sz w:val="26"/>
          <w:szCs w:val="26"/>
        </w:rPr>
        <w:t>二</w:t>
      </w:r>
    </w:p>
    <w:p w:rsidR="00624ADB" w:rsidRPr="00624ADB" w:rsidRDefault="00624ADB" w:rsidP="00624ADB">
      <w:pPr>
        <w:widowControl/>
        <w:shd w:val="clear" w:color="auto" w:fill="FFFFFF"/>
        <w:rPr>
          <w:rFonts w:ascii="Microsoft YaHei UI" w:eastAsia="Microsoft YaHei UI" w:hAnsi="Microsoft YaHei UI" w:cs="宋体"/>
          <w:color w:val="333333"/>
          <w:spacing w:val="8"/>
          <w:kern w:val="0"/>
          <w:sz w:val="26"/>
          <w:szCs w:val="26"/>
        </w:rPr>
      </w:pPr>
      <w:r w:rsidRPr="00624ADB">
        <w:rPr>
          <w:rFonts w:ascii="Microsoft YaHei UI" w:eastAsia="Microsoft YaHei UI" w:hAnsi="Microsoft YaHei UI" w:cs="宋体" w:hint="eastAsia"/>
          <w:color w:val="333333"/>
          <w:spacing w:val="8"/>
          <w:kern w:val="0"/>
          <w:sz w:val="26"/>
          <w:szCs w:val="26"/>
        </w:rPr>
        <w:br/>
      </w:r>
    </w:p>
    <w:p w:rsidR="00624ADB" w:rsidRPr="00624ADB" w:rsidRDefault="00624ADB" w:rsidP="00624ADB">
      <w:pPr>
        <w:widowControl/>
        <w:shd w:val="clear" w:color="auto" w:fill="FFFFFF"/>
        <w:jc w:val="right"/>
        <w:rPr>
          <w:rFonts w:ascii="Microsoft YaHei UI" w:eastAsia="Microsoft YaHei UI" w:hAnsi="Microsoft YaHei UI" w:cs="宋体"/>
          <w:color w:val="333333"/>
          <w:spacing w:val="30"/>
          <w:kern w:val="0"/>
          <w:sz w:val="26"/>
          <w:szCs w:val="26"/>
        </w:rPr>
      </w:pPr>
      <w:r w:rsidRPr="00624ADB">
        <w:rPr>
          <w:rFonts w:ascii="Microsoft YaHei UI" w:eastAsia="Microsoft YaHei UI" w:hAnsi="Microsoft YaHei UI" w:cs="宋体" w:hint="eastAsia"/>
          <w:color w:val="333333"/>
          <w:spacing w:val="30"/>
          <w:kern w:val="0"/>
          <w:sz w:val="26"/>
          <w:szCs w:val="26"/>
        </w:rPr>
        <w:t>研究结果</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shd w:val="clear" w:color="auto" w:fill="FFACD5"/>
        </w:rPr>
        <w:t>（一）成都市二期行动计划取得的成效</w:t>
      </w:r>
    </w:p>
    <w:p w:rsidR="00624ADB" w:rsidRPr="00624ADB" w:rsidRDefault="00624ADB" w:rsidP="00624ADB">
      <w:pPr>
        <w:widowControl/>
        <w:shd w:val="clear" w:color="auto" w:fill="FFFFFF"/>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园长和教师对于成都市二期行动计划持肯定态度的人数较多，各项指标的符合度（包括“基本符合”和“完全符合”）均在70%以上，质量监管方面更是达到了83.88%，说明二期行动计划总体上取得了不错的成效（见表1）。</w:t>
      </w:r>
    </w:p>
    <w:p w:rsidR="00624ADB" w:rsidRPr="00624ADB" w:rsidRDefault="00624ADB" w:rsidP="00624ADB">
      <w:pPr>
        <w:widowControl/>
        <w:shd w:val="clear" w:color="auto" w:fill="FFFFFF"/>
        <w:jc w:val="center"/>
        <w:rPr>
          <w:rFonts w:ascii="Microsoft YaHei UI" w:eastAsia="Microsoft YaHei UI" w:hAnsi="Microsoft YaHei UI" w:cs="宋体"/>
          <w:color w:val="333333"/>
          <w:spacing w:val="8"/>
          <w:kern w:val="0"/>
          <w:sz w:val="26"/>
          <w:szCs w:val="26"/>
        </w:rPr>
      </w:pPr>
      <w:r w:rsidRPr="00624ADB">
        <w:rPr>
          <w:rFonts w:ascii="Microsoft YaHei UI" w:eastAsia="Microsoft YaHei UI" w:hAnsi="Microsoft YaHei UI" w:cs="宋体"/>
          <w:noProof/>
          <w:color w:val="333333"/>
          <w:spacing w:val="8"/>
          <w:kern w:val="0"/>
          <w:sz w:val="26"/>
          <w:szCs w:val="26"/>
        </w:rPr>
        <mc:AlternateContent>
          <mc:Choice Requires="wps">
            <w:drawing>
              <wp:inline distT="0" distB="0" distL="0" distR="0">
                <wp:extent cx="304800" cy="304800"/>
                <wp:effectExtent l="0" t="0" r="0" b="0"/>
                <wp:docPr id="3" name="矩形 3" descr="https://mmbiz.qpic.cn/mmbiz_jpg/L2RFltkSRoTEdROcibBsqnrRHcRYeye7SaVREelxdicSFsQlC97osDyicVaicqtApIlSpyeHWAYevdt8k7KA4x90MQ/640?wx_fmt=jpeg&amp;tp=webp&amp;wxfrom=5&amp;wx_lazy=1&amp;wx_co=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DA6F998" id="矩形 3" o:spid="_x0000_s1026" alt="https://mmbiz.qpic.cn/mmbiz_jpg/L2RFltkSRoTEdROcibBsqnrRHcRYeye7SaVREelxdicSFsQlC97osDyicVaicqtApIlSpyeHWAYevdt8k7KA4x90MQ/640?wx_fmt=jpeg&amp;tp=webp&amp;wxfrom=5&amp;wx_lazy=1&amp;wx_co=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" filled="f" stroked="f">
                <o:lock v:ext="edit" aspectratio="t"/>
                <w10:anchorlock/>
              </v:rect>
            </w:pict>
          </mc:Fallback>
        </mc:AlternateConten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shd w:val="clear" w:color="auto" w:fill="D6A841"/>
        </w:rPr>
        <w:t>1.资源总量明显增加，“入园难”基本缓解</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第一期学前教育行动计划实施后，“入园难”问题初步得到了缓解，但资源总量仍然不足，尤其是普惠性资源不足，“入园难”依旧是主要问题。二期行动计划实施后，成都市84.3%的幼儿园园长和教师都认为幼儿园数量有明显增加，“入园难”问</w:t>
      </w:r>
      <w:r w:rsidRPr="00624ADB">
        <w:rPr>
          <w:rFonts w:ascii="宋体" w:eastAsia="宋体" w:hAnsi="宋体" w:cs="宋体" w:hint="eastAsia"/>
          <w:color w:val="333333"/>
          <w:spacing w:val="8"/>
          <w:kern w:val="0"/>
          <w:szCs w:val="21"/>
        </w:rPr>
        <w:lastRenderedPageBreak/>
        <w:t>题基本得到缓解的符合度为86.86%。说明成都市在“做好增量”上达到了比较令人满意的程度，扩大了学前教育资源，加大力度解决“入园难”问题。</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除了资源总量数量的增加，成都市还进行了资源结构和布局结构的调整。公办幼儿园、普惠性民办园和小区配套园有明显增加的符合度分别为78.27%、68.61%和65.43%，说明成都市基本达到了二期行动计划中“大力发展公办幼儿园”的目标，加强公建配套幼儿园管理，支持各类公办学前教育资源面向社会提供公共服务。</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shd w:val="clear" w:color="auto" w:fill="D6A841"/>
        </w:rPr>
        <w:t>2.加强监管，尤为重视纠正“小学化”</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一期行动计划使得幼儿园数量大量增加，但是质量发展的速度以及监督管理的力度并未完全与数量发展并驾齐驱，监督管理机制亟待完善，二期行动计划后反映质量监管的九个方面均取得了良好的效果，符合度都在70%以上。尤以纠正“小学化”力度、加强幼儿园督导检查力度、加强保教质量评估监管力度和治理收费问题四个方面效果最为显著，符合度分别为91.47%、90.87%、90.03%和87.92%。成都市青白江区于2018年创新公办幼儿园管理体制，推进学前教育“管办评分离”改革，通过积极引进社会资源、依法依规自主办园、社会广泛参与评价督学等措施逐步建立起“依法管理、自主办园、多元评价”的现代学前教育发展新机制，取得了明显成效。［4］</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shd w:val="clear" w:color="auto" w:fill="D6A841"/>
        </w:rPr>
        <w:t>3.投入增加，生均补助和硬件投入成效明显</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政府的财政投入是学前教育得以发展的基石，调查表明，财政投入明显增加的符合度为71.92%，政府对于学前教育的投入正在明显增加。</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一期行动计划效果显示，生均补助不能满足现实需求，［5］还有待提高。在二期行动计划实施过程中，有八成多的教师认为政府在硬件设施改善和生均补助的推动方面非常符合（符合度分别为88.83%和80.98%）。2015年起实施公办幼儿园财政生均公用经费拨款标准，［6］提高公益性幼儿园经费补助标准使生均补助合理化，健全财政投入保障机制，同时增大了桌椅、多媒体设备等硬件设施的投入。</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shd w:val="clear" w:color="auto" w:fill="D6A841"/>
        </w:rPr>
        <w:t>4.落实了优先发展公办园的财政投入结构</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学前教育具有教育性和公益性，学前教育应该作为政府负主要责任的公益性公共事业。［7］调查表明，园长和教师认为政府财政投入明显增加的符合度较高，且公办幼儿园园长、教师对此的认可度显著高于民办幼儿园（p=0.000），说明成都市政府通过支持公办幼儿园改善办园条件、提高幼儿园经费补助标准等措施建立健全了优先发展公办和公益性幼儿园的财政投入结构和保障机制。</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shd w:val="clear" w:color="auto" w:fill="D6A841"/>
        </w:rPr>
        <w:t>5.师资队伍明显改善</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随着二期行动计划中学前教育资源总量的迅速扩大，教师存量和教师补充成为了亟待解决的问题，数量上有所突破，质量也要跟得上。为此，成都市政府提出了要按标准补足配齐幼儿园教职工，依法保障教师待遇和加大师资培养培训力度。教师数量明显增加的认可度为80.08%，公办园园长和教师（p=0.008）的认可度较高；师资培养规模明显扩大的认可度为85.66%，公办园（p=0.000）和农村幼儿园（p=0.018）的</w:t>
      </w:r>
      <w:r w:rsidRPr="00624ADB">
        <w:rPr>
          <w:rFonts w:ascii="宋体" w:eastAsia="宋体" w:hAnsi="宋体" w:cs="宋体" w:hint="eastAsia"/>
          <w:color w:val="333333"/>
          <w:spacing w:val="8"/>
          <w:kern w:val="0"/>
          <w:szCs w:val="21"/>
        </w:rPr>
        <w:lastRenderedPageBreak/>
        <w:t>园长和教师认可度较高；评优评先机会明显增多的认可度为73.81%，公办园园长和教师认可度较高（p=0.000）；培训机会和内容的认可度都在90%左右（86.72%-90.71%）。</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shd w:val="clear" w:color="auto" w:fill="D6A841"/>
        </w:rPr>
        <w:t>6.弱势群体扶助力度明显加大</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二期行动计划实施后，教师普遍认为低收入家庭幼儿和特殊需要幼儿受到的资助明显增加（符合度分别为82.94%和79.93%）；在入园方面，随迁子女和非户籍幼儿入园机会明显增加，认可度分别为80.45%和77.21%，公办园和农村地区幼儿园园长和教师对弱势扶助的认可度均明显较高（p=0.000）。表明政府通过全面免除残疾儿童、孤儿和家庭经济困难儿童学前三年保教费并且实施伙食费补助等措施完善特殊儿童资助体系；也是政府着力扩大学前教育资源、逐步推动入园公平、解决“入园难、入园贵”的反映，保障越来越多的幼儿，尤其是弱势群体幼儿有园上。</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shd w:val="clear" w:color="auto" w:fill="FFACD5"/>
        </w:rPr>
        <w:t>（二）成都市二期行动计划后仍存在的问题</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二期行动计划总体上得到了园长和教师较高的认可度，值得欣慰。然而，还要看到一些方面高达30%-40%的比例所凸显的问题。二期行动计划实施后，四川省成都市仍然存在学前教育资源结构调整不到位、“大班额”现象普遍、软件和0-3岁早教投入不足、教师流动性大且民办和非在编教师福利待遇堪忧、弱势儿童群体扶助不足等问题。</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shd w:val="clear" w:color="auto" w:fill="D6A841"/>
        </w:rPr>
        <w:t>1.普惠性民办园和小区配套园覆盖率待提高</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在结构调整方面，成都市提出要“大力发展公办幼儿园，鼓励扶持普惠性民办幼儿园”，数据显示，成都市做到了大力发展公办园，但是相比之下普惠性民办园的覆盖率显得落后，满意度比公办园低了10个百分点（68.61%）；小区配套幼儿园明显增加的认可度在“学前教育资源”维度里最低（65.43%），说明政府还没有完全落实适龄幼儿就近入园、方便入园，政府在扶持引导公益性幼儿园发展方面还有待进一步推进，要继续扩大公办园和普惠性民办幼儿园覆盖率，进一步优化学前教育资源结构。</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shd w:val="clear" w:color="auto" w:fill="D6A841"/>
        </w:rPr>
        <w:t>2.仍存在“大班额”问题，师幼比远未达标</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调查发现，成都市通过二期行动计划的实施，幼儿园班额和师幼比有了明显改善，但是仍有很多幼儿园未达到国家标准，其中包括不少城市幼儿园。有很多幼儿园小班班额就多达40余人。民办园园长教师对“班额明显减少”的认可度较低（p=0.016），城镇幼儿园园长和教师对“师幼比达到国家标准”的认可度较低（p=0.036）。这说明“大班额”和低师幼比仍是较为普遍的现象和改革的难点。</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shd w:val="clear" w:color="auto" w:fill="D6A841"/>
        </w:rPr>
        <w:t>3. 0-3岁早教和软件投入有待加强</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在投入机制中，分别有高达37.14%、34.19%和28.23%的园长和教师不认可0-3岁公益早教投入、专项补助和软件投入明显增加。可以看出，师资等软件投入不足，不认可度比硬件设施高了将近20个百分点（17.06%），民办园园长和教师对此不认可度显著高于公办园园长教师（p=0.000），房屋修缮等专项补助也未到位。2013年，教育部在14个地区启动“0-3岁婴幼儿早期教育试点项目”，以发展公益性婴幼儿早期教育服务，［8］但有24.08%的园长和教师对此并不知情，政府对0-3岁公益早教</w:t>
      </w:r>
      <w:r w:rsidRPr="00624ADB">
        <w:rPr>
          <w:rFonts w:ascii="宋体" w:eastAsia="宋体" w:hAnsi="宋体" w:cs="宋体" w:hint="eastAsia"/>
          <w:color w:val="333333"/>
          <w:spacing w:val="8"/>
          <w:kern w:val="0"/>
          <w:szCs w:val="21"/>
        </w:rPr>
        <w:lastRenderedPageBreak/>
        <w:t>的投入和建设力度还不够大。可见，虽然经过二期行动计划的实施，政府财政投入有所增加，但在一些方面还远远不够，投入是否真的按计划、有标准地落到了实处也无从可知。</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shd w:val="clear" w:color="auto" w:fill="D6A841"/>
        </w:rPr>
        <w:t>4.民办园和城市幼儿园的成本分担机制不合理</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2014年教育部工作要点中提及要“建立完善学前教育成本分担与运行保障机制”，二期行动计划的实施，也使学前教育的成本分担机制由以往的家长投入较多、负担较重［9］转为政府、幼儿园和家庭合理分担成本，符合度为72.53%，这有利于减轻家长负担，凸显学前教育的公益性特征；但另一方面，不同办园体制幼儿园以及不同地区幼儿园园长和教师对此问题的认可度均存在较大差异，表现为民办园园长和教师认可度显著低于公办园（p值为0.000），城市幼儿园园长和教师认可度显著低于农村地区（p值为0.001），可能是因为城市幼儿园的收费更高。民办园、城市地区幼儿园家长的负担依旧较大，政府应进一步加大对民办园和城市地区幼儿园的财政支持。</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shd w:val="clear" w:color="auto" w:fill="D6A841"/>
        </w:rPr>
        <w:t>5.教师离职率较高，稳定性有待加强</w:t>
      </w:r>
    </w:p>
    <w:p w:rsidR="00624ADB" w:rsidRPr="00624ADB" w:rsidRDefault="00624ADB" w:rsidP="00624ADB">
      <w:pPr>
        <w:widowControl/>
        <w:shd w:val="clear" w:color="auto" w:fill="FFFFFF"/>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调查显示，61.28%的教师认为离职率有明显降低，但有高达28.3%的教师认为离职率仍然偏高，公办性质园和民办园的园长、教师的离职率明显高于公办园园长教师（p=0.000），说明我国幼儿园教师队伍仍不稳定（见表2）。 </w:t>
      </w:r>
    </w:p>
    <w:p w:rsidR="00624ADB" w:rsidRPr="00624ADB" w:rsidRDefault="00624ADB" w:rsidP="00624ADB">
      <w:pPr>
        <w:widowControl/>
        <w:shd w:val="clear" w:color="auto" w:fill="FFFFFF"/>
        <w:jc w:val="center"/>
        <w:rPr>
          <w:rFonts w:ascii="Microsoft YaHei UI" w:eastAsia="Microsoft YaHei UI" w:hAnsi="Microsoft YaHei UI" w:cs="宋体"/>
          <w:color w:val="333333"/>
          <w:spacing w:val="8"/>
          <w:kern w:val="0"/>
          <w:sz w:val="26"/>
          <w:szCs w:val="26"/>
        </w:rPr>
      </w:pPr>
      <w:r w:rsidRPr="00624ADB">
        <w:rPr>
          <w:rFonts w:ascii="Microsoft YaHei UI" w:eastAsia="Microsoft YaHei UI" w:hAnsi="Microsoft YaHei UI" w:cs="宋体"/>
          <w:noProof/>
          <w:color w:val="333333"/>
          <w:spacing w:val="8"/>
          <w:kern w:val="0"/>
          <w:sz w:val="26"/>
          <w:szCs w:val="26"/>
        </w:rPr>
        <mc:AlternateContent>
          <mc:Choice Requires="wps">
            <w:drawing>
              <wp:inline distT="0" distB="0" distL="0" distR="0">
                <wp:extent cx="304800" cy="304800"/>
                <wp:effectExtent l="0" t="0" r="0" b="0"/>
                <wp:docPr id="2" name="矩形 2" descr="https://mmbiz.qpic.cn/mmbiz_jpg/L2RFltkSRoTEdROcibBsqnrRHcRYeye7SxJWPGOZg9AzhVKEaBmtSsYRVuSbdHqevvibYMhnMaYzUohr7icehlLlQ/640?wx_fmt=jpeg&amp;tp=webp&amp;wxfrom=5&amp;wx_lazy=1&amp;wx_co=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4816071" id="矩形 2" o:spid="_x0000_s1026" alt="https://mmbiz.qpic.cn/mmbiz_jpg/L2RFltkSRoTEdROcibBsqnrRHcRYeye7SxJWPGOZg9AzhVKEaBmtSsYRVuSbdHqevvibYMhnMaYzUohr7icehlLlQ/640?wx_fmt=jpeg&amp;tp=webp&amp;wxfrom=5&amp;wx_lazy=1&amp;wx_co=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" filled="f" stroked="f">
                <o:lock v:ext="edit" aspectratio="t"/>
                <w10:anchorlock/>
              </v:rect>
            </w:pict>
          </mc:Fallback>
        </mc:AlternateConten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shd w:val="clear" w:color="auto" w:fill="D6A841"/>
        </w:rPr>
        <w:t>6.教师编制和待遇问题堪忧</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调查表明，有高达39.85%的园长和教师不认可“工资水平明显提高”，26.41%的园长和教师不认可“地位和待遇得到切实保障”，21.66%的园长和教师不认可“编制标准得到落实”。民办园园长和教师认可度均显著低于公办园，在工资水平明显提高和编制标准得到落实两项中城市地区幼儿园园长教师认可度显著低于农村幼儿园（p值分别为0.001、0.000）；公办性质园园长和教师对福利待遇总体认可度最低（p=0.006），说明城市地区园长教师的工资和编制、民办园园长和教师的编制和保险以及公办性质园园长和教师的福利待遇都有待提升。</w:t>
      </w:r>
    </w:p>
    <w:p w:rsidR="00624ADB" w:rsidRPr="00624ADB" w:rsidRDefault="00624ADB" w:rsidP="00624ADB">
      <w:pPr>
        <w:widowControl/>
        <w:shd w:val="clear" w:color="auto" w:fill="FFFFFF"/>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对于在编与非在编教师是否有同等的职称评定机会和幼儿园教师职称单列的问题认可度均不是很高（60%左右）。成都市在二期三年行动计划中提出要完善幼儿园教师工资待遇保障机制，逐步实现同工同酬，引导和监督民办幼儿园依法保障教师工资待遇，非在编教师和民办幼儿园教师在业务培训、职称评定等方面与编制教职工享有同等地位。但是结果表明，民办园教师的福利待遇和非在编教师职称评定机会方面的落实度有待提升（见表3）。</w:t>
      </w:r>
    </w:p>
    <w:p w:rsidR="00624ADB" w:rsidRPr="00624ADB" w:rsidRDefault="00624ADB" w:rsidP="00624ADB">
      <w:pPr>
        <w:widowControl/>
        <w:shd w:val="clear" w:color="auto" w:fill="FFFFFF"/>
        <w:jc w:val="center"/>
        <w:rPr>
          <w:rFonts w:ascii="Microsoft YaHei UI" w:eastAsia="Microsoft YaHei UI" w:hAnsi="Microsoft YaHei UI" w:cs="宋体"/>
          <w:color w:val="333333"/>
          <w:spacing w:val="8"/>
          <w:kern w:val="0"/>
          <w:sz w:val="26"/>
          <w:szCs w:val="26"/>
        </w:rPr>
      </w:pPr>
      <w:r w:rsidRPr="00624ADB">
        <w:rPr>
          <w:rFonts w:ascii="Microsoft YaHei UI" w:eastAsia="Microsoft YaHei UI" w:hAnsi="Microsoft YaHei UI" w:cs="宋体"/>
          <w:noProof/>
          <w:color w:val="333333"/>
          <w:spacing w:val="8"/>
          <w:kern w:val="0"/>
          <w:sz w:val="26"/>
          <w:szCs w:val="26"/>
        </w:rPr>
        <mc:AlternateContent>
          <mc:Choice Requires="wps">
            <w:drawing>
              <wp:inline distT="0" distB="0" distL="0" distR="0">
                <wp:extent cx="304800" cy="304800"/>
                <wp:effectExtent l="0" t="0" r="0" b="0"/>
                <wp:docPr id="1" name="矩形 1" descr="https://mmbiz.qpic.cn/mmbiz_jpg/L2RFltkSRoTEdROcibBsqnrRHcRYeye7Sy87YOkicySZZiaypv2X0ECBUfBYhA55OQWqJcB0icHJDo4wB7evcp8J6A/640?wx_fmt=jpeg&amp;tp=webp&amp;wxfrom=5&amp;wx_lazy=1&amp;wx_co=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E66F71E" id="矩形 1" o:spid="_x0000_s1026" alt="https://mmbiz.qpic.cn/mmbiz_jpg/L2RFltkSRoTEdROcibBsqnrRHcRYeye7Sy87YOkicySZZiaypv2X0ECBUfBYhA55OQWqJcB0icHJDo4wB7evcp8J6A/640?wx_fmt=jpeg&amp;tp=webp&amp;wxfrom=5&amp;wx_lazy=1&amp;wx_co=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" filled="f" stroked="f">
                <o:lock v:ext="edit" aspectratio="t"/>
                <w10:anchorlock/>
              </v:rect>
            </w:pict>
          </mc:Fallback>
        </mc:AlternateConten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shd w:val="clear" w:color="auto" w:fill="D6A841"/>
        </w:rPr>
        <w:t>7.残疾幼儿的入园机会需得到进一步增加</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成都市通过二期三年行动计划逐步完善了特殊儿童资助体系，残疾儿童、家庭经济困难儿童、特殊儿童等弱势群体受到的扶助明显增加，但是残疾幼儿入园机会明显增加的认可度较低（仅为64.46%），农村地区和民办园园长教师的认可度均明显较低</w:t>
      </w:r>
      <w:r w:rsidRPr="00624ADB">
        <w:rPr>
          <w:rFonts w:ascii="宋体" w:eastAsia="宋体" w:hAnsi="宋体" w:cs="宋体" w:hint="eastAsia"/>
          <w:color w:val="333333"/>
          <w:spacing w:val="8"/>
          <w:kern w:val="0"/>
          <w:szCs w:val="21"/>
        </w:rPr>
        <w:lastRenderedPageBreak/>
        <w:t>（显著度分别为0.000，0.002）。为此，政府应出台相关标准或法规，建立多种扶助制度，强化自身主导责任，［10］尤其要进一步加大农村地区和民办园残疾幼儿的入园机会。</w:t>
      </w:r>
    </w:p>
    <w:p w:rsidR="00624ADB" w:rsidRPr="00624ADB" w:rsidRDefault="00624ADB" w:rsidP="00624ADB">
      <w:pPr>
        <w:widowControl/>
        <w:shd w:val="clear" w:color="auto" w:fill="FFFFFF"/>
        <w:rPr>
          <w:rFonts w:ascii="Microsoft YaHei UI" w:eastAsia="Microsoft YaHei UI" w:hAnsi="Microsoft YaHei UI" w:cs="宋体"/>
          <w:color w:val="333333"/>
          <w:spacing w:val="30"/>
          <w:kern w:val="0"/>
          <w:sz w:val="26"/>
          <w:szCs w:val="26"/>
        </w:rPr>
      </w:pPr>
      <w:r w:rsidRPr="00624ADB">
        <w:rPr>
          <w:rFonts w:ascii="Microsoft YaHei UI" w:eastAsia="Microsoft YaHei UI" w:hAnsi="Microsoft YaHei UI" w:cs="宋体" w:hint="eastAsia"/>
          <w:color w:val="333333"/>
          <w:spacing w:val="30"/>
          <w:kern w:val="0"/>
          <w:sz w:val="26"/>
          <w:szCs w:val="26"/>
        </w:rPr>
        <w:t>三</w:t>
      </w:r>
    </w:p>
    <w:p w:rsidR="00624ADB" w:rsidRPr="00624ADB" w:rsidRDefault="00624ADB" w:rsidP="00624ADB">
      <w:pPr>
        <w:widowControl/>
        <w:shd w:val="clear" w:color="auto" w:fill="FFFFFF"/>
        <w:rPr>
          <w:rFonts w:ascii="Microsoft YaHei UI" w:eastAsia="Microsoft YaHei UI" w:hAnsi="Microsoft YaHei UI" w:cs="宋体"/>
          <w:color w:val="333333"/>
          <w:spacing w:val="8"/>
          <w:kern w:val="0"/>
          <w:sz w:val="26"/>
          <w:szCs w:val="26"/>
        </w:rPr>
      </w:pPr>
      <w:r w:rsidRPr="00624ADB">
        <w:rPr>
          <w:rFonts w:ascii="Microsoft YaHei UI" w:eastAsia="Microsoft YaHei UI" w:hAnsi="Microsoft YaHei UI" w:cs="宋体" w:hint="eastAsia"/>
          <w:color w:val="333333"/>
          <w:spacing w:val="8"/>
          <w:kern w:val="0"/>
          <w:sz w:val="26"/>
          <w:szCs w:val="26"/>
        </w:rPr>
        <w:br/>
      </w:r>
    </w:p>
    <w:p w:rsidR="00624ADB" w:rsidRPr="00624ADB" w:rsidRDefault="00624ADB" w:rsidP="00624ADB">
      <w:pPr>
        <w:widowControl/>
        <w:shd w:val="clear" w:color="auto" w:fill="FFFFFF"/>
        <w:jc w:val="right"/>
        <w:rPr>
          <w:rFonts w:ascii="Microsoft YaHei UI" w:eastAsia="Microsoft YaHei UI" w:hAnsi="Microsoft YaHei UI" w:cs="宋体"/>
          <w:color w:val="333333"/>
          <w:spacing w:val="30"/>
          <w:kern w:val="0"/>
          <w:sz w:val="26"/>
          <w:szCs w:val="26"/>
        </w:rPr>
      </w:pPr>
      <w:r w:rsidRPr="00624ADB">
        <w:rPr>
          <w:rFonts w:ascii="Microsoft YaHei UI" w:eastAsia="Microsoft YaHei UI" w:hAnsi="Microsoft YaHei UI" w:cs="宋体" w:hint="eastAsia"/>
          <w:color w:val="333333"/>
          <w:spacing w:val="30"/>
          <w:kern w:val="0"/>
          <w:sz w:val="26"/>
          <w:szCs w:val="26"/>
        </w:rPr>
        <w:t>政策建议</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“三年行动计划”背景下学前教育的快速发展及其问题，反映了学前教育发展过程的规模与质量、体制与机制、城市与农村的矛盾。［11］</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成都市通过二期三年行动计划的实施，达到了扩大学前教育资源、加强动态监管、加强“小学化”的纠正力度、财政投入明显增加、建立优先发展公办和公益性幼儿园的财政投入结构、加大师资培养培训力度、完善特殊儿童资助体系等目标，总体得到了园长和教师的认可，切实提高了四川省学前教育的水平。但是由于我国长期以来存在的“入园难”、“入园贵”、投入不足、师资力量薄弱等问题［12］不可能在短短的几年内就得到完全解决。二期行动计划实施后，依旧存在着诸多问题。在三期行动计划中，政府也关注到了存在的问题并积极提出改进措施，重点增加普惠性资源、提升保教质量、建立健全保障机制，与此同时，更要保证具体措施实施的科学性，顾全大局，突出重点。</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shd w:val="clear" w:color="auto" w:fill="FFACD5"/>
        </w:rPr>
        <w:t>（一）根据人口变动优化资源配置</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二期行动计划实施后，成都市资源总量明显增加，但是随着全面二孩政策的放开，幼儿的入园形势依旧不容乐观。据统计，全面二孩政策实施一年以来，成都市二孩生育登记人数占到总登记数的近四成，［13］“全面二孩”政策必然会影响到我国学前教育资源的供给规模，［14］为此，建议政府做到以下两点：</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首先，时刻关注“全面二孩”政策动态及其给学前教育带来的影响，做好科学统计，如特定时间内新增出生人口数，新增人口家庭对于学前教育的需求，新增人口的布局等。由于人口的增加是一个渐进过程，不会造成短期内爆发式增长，因此政府要逐年适当增加幼儿园数量并且适可而止，避免学位过剩现象。在满足生育政策转变后幼儿人口增长的潜在需求基础上，有条件的地区要逐渐发展0-3岁幼儿托育。</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其次，政府要继续扩大学前教育资源，调整布局结构。一是通过整改无证园、增设办园点、将中小学的富余校舍改建为幼儿园等方式盘活并充分利用已有资源。如成都市2019年出台《成都市利用既有建筑举办公办幼儿园附属办园点安全管理工作基本要求》，有效增加资源供给，加强安全管理。［15］二是对于城乡结合部以及农村地区的无证园给予资金和技术等方面的支持，推动其发展成为符合标准的普惠性幼儿</w:t>
      </w:r>
      <w:r w:rsidRPr="00624ADB">
        <w:rPr>
          <w:rFonts w:ascii="宋体" w:eastAsia="宋体" w:hAnsi="宋体" w:cs="宋体" w:hint="eastAsia"/>
          <w:color w:val="333333"/>
          <w:spacing w:val="8"/>
          <w:kern w:val="0"/>
          <w:szCs w:val="21"/>
        </w:rPr>
        <w:lastRenderedPageBreak/>
        <w:t>园；考虑现有人口基数和人口流动趋势，从办园形式、办园规模和办园时效等方面整体规划，建设多种类型的幼儿园；加强小区配套园建设，避免幼儿园过于分散和集中地现象，努力实现幼儿就近入园、方便入园。</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shd w:val="clear" w:color="auto" w:fill="FFACD5"/>
        </w:rPr>
        <w:t>（二）严控班额和师幼比，使质量与规模发展并驾齐驱</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诸多研究表明，师幼比是影响托幼机构教育质量的重要结构性要素，可以在一定程度上预测学前教育的质量。［16］政府在注重规模发展与普及率提高的同时，更要重视规模与质量并重的内涵式发展。［17］为此，应做好幼儿园发展的长远规划，合理布局，避免入园两极分化现象；招生前建立严格的招生和班额制度并做好宣传，招生后将实际的招生数和班额做好公示；通过大学增设附属园，组建规模化、集团化的优质幼教机构并且开设分校，政府购买服务等方式扩大优质学前教育资源并发挥其辐射带动作用；同时要完善监管机制，制定严格的监测标准，加强质量评估和监测。</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shd w:val="clear" w:color="auto" w:fill="FFACD5"/>
        </w:rPr>
        <w:t>（三）加大财政投入，保持财政投入的均衡性</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财政投入是学前教育发展的基础，二期行动计划后，财政投入依然不均。为此，政府应进一步加大投入，保持投入的均衡性。一是成本分担机制合理，建立政府主导，社会和家庭积极参与的成本分担机制，出台法规规定政府最低成本分担比，［18］从宏观上对投入机制予以保障；规范幼儿园收费标准，杜绝乱收费、高收费，减轻家长负担；建立社会舆论监督体系，将政府、家长和社会的投入定期向社会公开发布，接受人民群众监督和建言等。二是保持对不同性质和不同地区财政投入的均衡性。建立民办幼儿园财政补助制度，重点补贴低收费合格民办园，既可以是生均教育经费补贴，也可以是办学设备、图书等实物补助。［19］对于农村地区幼儿园，应较大幅度追加公共教育经费的供给，扩充各类教育资源。［20］三是投入项目的均衡，园长和教师对于财政投入的呼声非常高，尤以需要增加软件投入的需求程度最高（94.11%），政府要进一步加大软件投入，进一步加强师资队伍建设；制定科学、合理的财政支出结构，建立与投入相适应的增长机制。</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shd w:val="clear" w:color="auto" w:fill="FFACD5"/>
        </w:rPr>
        <w:t>（四）多渠道补充教师，提高教师福利待遇和非在编教师职称评定机会，稳定教师队伍</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成都市政府积极加强教师队伍的建设，如2014年出台了《关于加强教师队伍建设的实施意见》，［21］但改革更多聚焦于中小学教师，学前教育教师队伍建设的问题没能在短期内解决，还有待进一步推进。</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首先，随着学前教育资源不断扩大，要进一步补充教师队伍。增加师范院校和学前教育及其相关专业的招生规模，尊重个人意愿和择优录取，优先考虑学前教育专业教师进入幼儿园；义务教育阶段富余教师经培训后转入幼儿园工作，严把培训关，通过学前教育特岗计划增加在编老师的数量；创新教师招聘机制，通过给予生活补贴、加分优势等招募大学生志愿者进入幼儿园等。</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其次，在补充教师队伍的同时，要致力于稳定教师队伍，提高教师队伍质量。园长和教师对于其地位和待遇得到更切实保障的需求度最高（97.06%），因此，三期行</w:t>
      </w:r>
      <w:r w:rsidRPr="00624ADB">
        <w:rPr>
          <w:rFonts w:ascii="宋体" w:eastAsia="宋体" w:hAnsi="宋体" w:cs="宋体" w:hint="eastAsia"/>
          <w:color w:val="333333"/>
          <w:spacing w:val="8"/>
          <w:kern w:val="0"/>
          <w:szCs w:val="21"/>
        </w:rPr>
        <w:lastRenderedPageBreak/>
        <w:t>动计划中要更重视教师地位和待遇的提升。对于非在编教师，采取与在编教师招考程序相同、岗位任职标准相同、基础和绩效工资以及评优评先机会等待遇相同、职称评定条件和程序相同的“四同”［22］措施；将教师工资纳入财政预算，给教师吃一颗“定心丸”；［23］在问卷中教师较多提到编制增多和单列的问题，但是仅仅依靠幼儿园方面实现此问题举步维艰，需要国家从上而下出台整套刚性保障措施。</w:t>
      </w:r>
    </w:p>
    <w:p w:rsidR="00624ADB" w:rsidRPr="00624ADB" w:rsidRDefault="00624ADB" w:rsidP="00624ADB">
      <w:pPr>
        <w:widowControl/>
        <w:shd w:val="clear" w:color="auto" w:fill="FFFFFF"/>
        <w:spacing w:line="383" w:lineRule="atLeast"/>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shd w:val="clear" w:color="auto" w:fill="FFACD5"/>
        </w:rPr>
        <w:t>（五）保障学前教育向弱势群体倾斜</w:t>
      </w:r>
    </w:p>
    <w:p w:rsidR="00624ADB" w:rsidRPr="00624ADB" w:rsidRDefault="00624ADB" w:rsidP="00624ADB">
      <w:pPr>
        <w:widowControl/>
        <w:shd w:val="clear" w:color="auto" w:fill="FFFFFF"/>
        <w:ind w:firstLine="480"/>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Cs w:val="21"/>
        </w:rPr>
        <w:t>学前教育向弱势群体倾斜是凸显教育公平的重要指标。二期行动计划后，政府增大了对特殊儿童资助力度，但是资助制度还不够完善，尤其是残疾儿童的入园机会不容乐观。应加强保障弱势儿童群体的入园和资助问题，首先确定弱势群体的具体范围，这是采取特殊保障措施的条件，在条文中要将“残疾儿童”“贫困儿童”“城市流动儿童”“少数民族儿童”等特殊幼儿明确列为受保障的重点对象；［24］以公平和普惠为基本的价值取向，通过减免学费、补助餐费等多种途径资助弱势群体；借鉴台湾地区的“友善保教计划”，政府提供教学场所，委托民间团体按公立机构收费标准办理非营利性机构，规定弱势儿童优先入园，按照保教支出，扣除家长所缴费用后，不足部分由政府予以补助；［25］加大对弱势群体的扶持力度，鼓励社会力量对弱势群体的扶持；建立公开和监督体系，成立政府、幼儿园和家长三方评估考核体系，对政府的扶持情况进行监督等。</w:t>
      </w:r>
    </w:p>
    <w:p w:rsidR="00624ADB" w:rsidRPr="00624ADB" w:rsidRDefault="00624ADB" w:rsidP="00624ADB">
      <w:pPr>
        <w:widowControl/>
        <w:shd w:val="clear" w:color="auto" w:fill="FFFFFF"/>
        <w:rPr>
          <w:rFonts w:ascii="Microsoft YaHei UI" w:eastAsia="Microsoft YaHei UI" w:hAnsi="Microsoft YaHei UI" w:cs="宋体"/>
          <w:color w:val="333333"/>
          <w:spacing w:val="30"/>
          <w:kern w:val="0"/>
          <w:sz w:val="26"/>
          <w:szCs w:val="26"/>
        </w:rPr>
      </w:pPr>
      <w:r w:rsidRPr="00624ADB">
        <w:rPr>
          <w:rFonts w:ascii="Microsoft YaHei UI" w:eastAsia="Microsoft YaHei UI" w:hAnsi="Microsoft YaHei UI" w:cs="宋体" w:hint="eastAsia"/>
          <w:color w:val="333333"/>
          <w:spacing w:val="30"/>
          <w:kern w:val="0"/>
          <w:sz w:val="24"/>
          <w:szCs w:val="24"/>
        </w:rPr>
        <w:t>参考文献</w:t>
      </w:r>
    </w:p>
    <w:p w:rsidR="00624ADB" w:rsidRPr="00624ADB" w:rsidRDefault="00624ADB" w:rsidP="00624ADB">
      <w:pPr>
        <w:widowControl/>
        <w:shd w:val="clear" w:color="auto" w:fill="FFFFFF"/>
        <w:rPr>
          <w:rFonts w:ascii="Microsoft YaHei UI" w:eastAsia="Microsoft YaHei UI" w:hAnsi="Microsoft YaHei UI" w:cs="宋体"/>
          <w:color w:val="333333"/>
          <w:spacing w:val="30"/>
          <w:kern w:val="0"/>
          <w:sz w:val="26"/>
          <w:szCs w:val="26"/>
        </w:rPr>
      </w:pPr>
      <w:r w:rsidRPr="00624ADB">
        <w:rPr>
          <w:rFonts w:ascii="宋体" w:eastAsia="宋体" w:hAnsi="宋体" w:cs="宋体" w:hint="eastAsia"/>
          <w:color w:val="333333"/>
          <w:spacing w:val="30"/>
          <w:kern w:val="0"/>
          <w:sz w:val="18"/>
          <w:szCs w:val="18"/>
        </w:rPr>
        <w:t>［1］ 教育部等四部门关于实施第三期学前教育行动计划的意见［EB/OL］. （2017-04-13）［2019-11-20］.http://www.moe.gov.cn/srcsite/A06/s3327/201705/t20170502_303514.html.</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t>［2］教育部. 基本普及学前教育［EB/OL］. （2010-08-08） ［2018-03-14］.http://old.moe.gov.cn//publicfiles/business/htmlfiles/moe/s4582/201010/109361.html.</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t>［3］成都市教育局. 关于印发《成都市第三期学前教育行动计划（2017-2020年）》的通知 ［EB/OL］. （2017-09-07） ［2017-09-20］. http://www.cdedu.gov.cn/zhengce/show.aspx?id=61389.</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t>［4］成都市青白江区创新公办幼儿园管理体制 推进学前教育“管办评分离”改革［EB/OL］. （2018-12-21） ［2019-11-21］.http://edu.chengdu.gov.cn/cdedu/gddxal/2018-12/21/content_4f92d8032bde450cbd52f8343f5e9075.shtml.</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t>［5］洪秀敏，马群. 学前教育三年行动计划实施效果调查——基于内部利益相关者评价的视角［J］. 教育学报，2015（1）：119.</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t>［6］成都市制定公办幼儿园财政生均公用经费拨款标准［EB/OL］. （2014-11-25） ［2017-07-09］.http://tf.sctv.com/szxw/201411/t20141125_2164428.shtml.</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t>［7］刘占兰. 学前教育必须保持教育性和公益性［J］. 教育研究，2009（5）：125-127.</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t>［8］教育部在14个地区启动0-3岁婴幼儿早期教育试点［EB/OL］. （2013-01-06） ［2017-02-22］.http://edu.people.com.cn/gongwuyuan/n/2013/0106/c88733-20108224.html.</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lastRenderedPageBreak/>
        <w:t>［9］魏聪，王海英. 我国学前教育成本分担现状与社会期望研究［J］. 全球教育展望，2015，44（10）：81.</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t>［10］庞丽娟，夏靖，孙美红. 世界主要国家和地区弱势儿童学前教育扶助政策研究［J］. 教育学报，2010，6（5）：50-53.</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t>［11］郑名. “学前教育三年行动计划”成效分析与政策建议［J］. 学前教育研究，2014（8）：41.</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t>［12］张燕. 经济体制转型中我国学前教育发展面临的问题与挑战［J］. 学前教育研究，2009（10）：3.</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t>［13］“全面二孩”一周年，成都生育登记人数近4成是二孩［EB/OL］. （2017-01-03） ［2017-02-03］.http://edu.cnr.cn/list/20170103/t20170103_523427066.shtml.</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t>［14］郑益乐. “全面二孩”政策对我国学前教育资源供给的影响及建议——兼论我国学前教育资源供给的现状与前景展望［J］. 教育科学，2016，32（3）：84.</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t>［15］成都市教育局. 关于印发《成都市利用既有建筑举办公办幼儿园附属办园点安全管理工作基本要求》的通知［EB/OL］. （2019-10-09） ［2019-11-21］. http://edu.chengdu.gov.cn/cdedu/c113015/2019-10/09/content_e15fd5def4464c6e98e6939a4dce0736.shtml.</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t>［16］Publishing O. Starting Strong II：Early Childhood Education and Care［J］. OECD Publishing，2006，9（4）：I-216.</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t>［17］刘占兰. 学前教育的普及必须兼顾质量的提高——谈《规划纲要》中基本普及学前教育的内涵与措施［J］. 学前教育研究，2010（10）：18-22.</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t>［18］赵景辉，刘云艳. 政府分担学前教育成本的合理性及其运行机制［J］. 学前教育研究，2012（2）：17-21.</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t>［19］刘积亮. 地区学前教育发展水平决定因素及财政投入政策研究［J］. 现代教育管理，2018（7）：43-48.</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t>［20］霍利婷，王桂新. 中国学前教育资源空间均衡度变化研究——兼论两期“学前教育三年行动计划”的实施成效［J］. 现代教育管理，2019（10）：14-20.</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t>［21］成都市人民政府关于加强教师队伍建设的实施意见［EB/OL］. （2014-01-24） ［2017-07-20］. http://www.cdedu.gov.cn/zhengce/show.aspx?id=41647.</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t>［22］5%彰显的教育公平［EB/OL］. （2016-09-23） ［2017-03-23］. http://gz.people.com.cn/n2/2016/0923/c222174-29050920.html.</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t>［23］汪丞，郭跃进，伍香平. 新形势下加强幼儿园教师队伍建设的对策思考［J］. 学前教育研究，2014（2）：30.</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t>［24］杨海瑶. 学前教育的公平理念及其实现路径——基于学前教育法的思考［J］. 现代教育管理，2012（3）：46-50.</w:t>
      </w:r>
    </w:p>
    <w:p w:rsidR="00624ADB" w:rsidRPr="00624ADB" w:rsidRDefault="00624ADB" w:rsidP="00624ADB">
      <w:pPr>
        <w:widowControl/>
        <w:shd w:val="clear" w:color="auto" w:fill="FFFFFF"/>
        <w:spacing w:line="383" w:lineRule="atLeast"/>
        <w:rPr>
          <w:rFonts w:ascii="Microsoft YaHei UI" w:eastAsia="Microsoft YaHei UI" w:hAnsi="Microsoft YaHei UI" w:cs="宋体"/>
          <w:color w:val="333333"/>
          <w:spacing w:val="8"/>
          <w:kern w:val="0"/>
          <w:sz w:val="26"/>
          <w:szCs w:val="26"/>
        </w:rPr>
      </w:pPr>
      <w:r w:rsidRPr="00624ADB">
        <w:rPr>
          <w:rFonts w:ascii="宋体" w:eastAsia="宋体" w:hAnsi="宋体" w:cs="宋体" w:hint="eastAsia"/>
          <w:color w:val="333333"/>
          <w:spacing w:val="8"/>
          <w:kern w:val="0"/>
          <w:sz w:val="18"/>
          <w:szCs w:val="18"/>
        </w:rPr>
        <w:t>［25］李振玉，关永红，程绍仁. 台湾地区弱势儿童学前教育扶助政策及其启示［J］. 教育发展研究，2012（24）：80.</w:t>
      </w:r>
    </w:p>
    <w:p w:rsidR="00624ADB" w:rsidRPr="00624ADB" w:rsidRDefault="00624ADB" w:rsidP="00624ADB">
      <w:pPr>
        <w:widowControl/>
        <w:shd w:val="clear" w:color="auto" w:fill="FFFFFF"/>
        <w:jc w:val="right"/>
        <w:rPr>
          <w:rFonts w:ascii="Microsoft YaHei UI" w:eastAsia="Microsoft YaHei UI" w:hAnsi="Microsoft YaHei UI" w:cs="宋体"/>
          <w:color w:val="333333"/>
          <w:spacing w:val="8"/>
          <w:kern w:val="0"/>
          <w:sz w:val="26"/>
          <w:szCs w:val="26"/>
        </w:rPr>
      </w:pPr>
      <w:r w:rsidRPr="00624ADB">
        <w:rPr>
          <w:rFonts w:ascii="Microsoft YaHei UI" w:eastAsia="Microsoft YaHei UI" w:hAnsi="Microsoft YaHei UI" w:cs="宋体" w:hint="eastAsia"/>
          <w:color w:val="333333"/>
          <w:spacing w:val="8"/>
          <w:kern w:val="0"/>
          <w:szCs w:val="21"/>
        </w:rPr>
        <w:lastRenderedPageBreak/>
        <w:t>本文原载于《现代教育管理》2020年第1期</w:t>
      </w:r>
    </w:p>
    <w:p w:rsidR="00E922A2" w:rsidRPr="00624ADB" w:rsidRDefault="00E922A2"/>
    <w:sectPr w:rsidR="00E922A2" w:rsidRPr="00624AD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2279F" w:rsidRDefault="0012279F" w:rsidP="00624ADB">
      <w:r>
        <w:separator/>
      </w:r>
    </w:p>
  </w:endnote>
  <w:endnote w:type="continuationSeparator" w:id="0">
    <w:p w:rsidR="0012279F" w:rsidRDefault="0012279F" w:rsidP="00624A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Microsoft YaHei UI">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2279F" w:rsidRDefault="0012279F" w:rsidP="00624ADB">
      <w:r>
        <w:separator/>
      </w:r>
    </w:p>
  </w:footnote>
  <w:footnote w:type="continuationSeparator" w:id="0">
    <w:p w:rsidR="0012279F" w:rsidRDefault="0012279F" w:rsidP="00624AD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6E8E"/>
    <w:rsid w:val="0012279F"/>
    <w:rsid w:val="00624ADB"/>
    <w:rsid w:val="006C37AF"/>
    <w:rsid w:val="00C34C2B"/>
    <w:rsid w:val="00E922A2"/>
    <w:rsid w:val="00EB6E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FB4909"/>
  <w15:chartTrackingRefBased/>
  <w15:docId w15:val="{42966D64-7DF4-4BDE-9A57-EEAB9B4F4F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2">
    <w:name w:val="heading 2"/>
    <w:basedOn w:val="a"/>
    <w:link w:val="20"/>
    <w:uiPriority w:val="9"/>
    <w:qFormat/>
    <w:rsid w:val="00624ADB"/>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24ADB"/>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624ADB"/>
    <w:rPr>
      <w:sz w:val="18"/>
      <w:szCs w:val="18"/>
    </w:rPr>
  </w:style>
  <w:style w:type="paragraph" w:styleId="a5">
    <w:name w:val="footer"/>
    <w:basedOn w:val="a"/>
    <w:link w:val="a6"/>
    <w:uiPriority w:val="99"/>
    <w:unhideWhenUsed/>
    <w:rsid w:val="00624ADB"/>
    <w:pPr>
      <w:tabs>
        <w:tab w:val="center" w:pos="4153"/>
        <w:tab w:val="right" w:pos="8306"/>
      </w:tabs>
      <w:snapToGrid w:val="0"/>
      <w:jc w:val="left"/>
    </w:pPr>
    <w:rPr>
      <w:sz w:val="18"/>
      <w:szCs w:val="18"/>
    </w:rPr>
  </w:style>
  <w:style w:type="character" w:customStyle="1" w:styleId="a6">
    <w:name w:val="页脚 字符"/>
    <w:basedOn w:val="a0"/>
    <w:link w:val="a5"/>
    <w:uiPriority w:val="99"/>
    <w:rsid w:val="00624ADB"/>
    <w:rPr>
      <w:sz w:val="18"/>
      <w:szCs w:val="18"/>
    </w:rPr>
  </w:style>
  <w:style w:type="character" w:customStyle="1" w:styleId="20">
    <w:name w:val="标题 2 字符"/>
    <w:basedOn w:val="a0"/>
    <w:link w:val="2"/>
    <w:uiPriority w:val="9"/>
    <w:rsid w:val="00624ADB"/>
    <w:rPr>
      <w:rFonts w:ascii="宋体" w:eastAsia="宋体" w:hAnsi="宋体" w:cs="宋体"/>
      <w:b/>
      <w:bCs/>
      <w:kern w:val="0"/>
      <w:sz w:val="36"/>
      <w:szCs w:val="36"/>
    </w:rPr>
  </w:style>
  <w:style w:type="character" w:customStyle="1" w:styleId="richmediameta">
    <w:name w:val="rich_media_meta"/>
    <w:basedOn w:val="a0"/>
    <w:rsid w:val="00624ADB"/>
  </w:style>
  <w:style w:type="character" w:customStyle="1" w:styleId="apple-converted-space">
    <w:name w:val="apple-converted-space"/>
    <w:basedOn w:val="a0"/>
    <w:rsid w:val="00624ADB"/>
  </w:style>
  <w:style w:type="character" w:styleId="a7">
    <w:name w:val="Hyperlink"/>
    <w:basedOn w:val="a0"/>
    <w:uiPriority w:val="99"/>
    <w:semiHidden/>
    <w:unhideWhenUsed/>
    <w:rsid w:val="00624ADB"/>
    <w:rPr>
      <w:color w:val="0000FF"/>
      <w:u w:val="single"/>
    </w:rPr>
  </w:style>
  <w:style w:type="character" w:styleId="a8">
    <w:name w:val="Emphasis"/>
    <w:basedOn w:val="a0"/>
    <w:uiPriority w:val="20"/>
    <w:qFormat/>
    <w:rsid w:val="00624ADB"/>
    <w:rPr>
      <w:i/>
      <w:iCs/>
    </w:rPr>
  </w:style>
  <w:style w:type="paragraph" w:styleId="a9">
    <w:name w:val="Normal (Web)"/>
    <w:basedOn w:val="a"/>
    <w:uiPriority w:val="99"/>
    <w:semiHidden/>
    <w:unhideWhenUsed/>
    <w:rsid w:val="00624ADB"/>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1161659">
      <w:bodyDiv w:val="1"/>
      <w:marLeft w:val="0"/>
      <w:marRight w:val="0"/>
      <w:marTop w:val="0"/>
      <w:marBottom w:val="0"/>
      <w:divBdr>
        <w:top w:val="none" w:sz="0" w:space="0" w:color="auto"/>
        <w:left w:val="none" w:sz="0" w:space="0" w:color="auto"/>
        <w:bottom w:val="none" w:sz="0" w:space="0" w:color="auto"/>
        <w:right w:val="none" w:sz="0" w:space="0" w:color="auto"/>
      </w:divBdr>
      <w:divsChild>
        <w:div w:id="1527333213">
          <w:marLeft w:val="0"/>
          <w:marRight w:val="0"/>
          <w:marTop w:val="0"/>
          <w:marBottom w:val="33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1564</Words>
  <Characters>8916</Characters>
  <Application>Microsoft Office Word</Application>
  <DocSecurity>0</DocSecurity>
  <Lines>74</Lines>
  <Paragraphs>20</Paragraphs>
  <ScaleCrop>false</ScaleCrop>
  <Company/>
  <LinksUpToDate>false</LinksUpToDate>
  <CharactersWithSpaces>10460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yueya</dc:creator>
  <cp:keywords/>
  <dc:description/>
  <cp:lastModifiedBy>yueya</cp:lastModifiedBy>
  <cp:revision>3</cp:revision>
  <dcterms:created xsi:type="dcterms:W3CDTF">2020-04-17T05:16:00Z</dcterms:created>
  <dcterms:modified xsi:type="dcterms:W3CDTF">2020-04-17T05:24:00Z</dcterms:modified>
</cp:coreProperties>
</file>